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B4C0B0" w14:textId="77777777" w:rsidR="00481C7E" w:rsidRPr="00481C7E" w:rsidRDefault="00481C7E" w:rsidP="00481C7E">
      <w:pPr>
        <w:spacing w:after="70" w:line="259" w:lineRule="auto"/>
        <w:ind w:left="0" w:firstLine="0"/>
        <w:rPr>
          <w:rFonts w:asciiTheme="minorHAnsi" w:hAnsiTheme="minorHAnsi" w:cstheme="minorHAnsi"/>
        </w:rPr>
      </w:pPr>
      <w:r w:rsidRPr="00481C7E">
        <w:rPr>
          <w:rFonts w:asciiTheme="minorHAnsi" w:eastAsia="Calibri" w:hAnsiTheme="minorHAnsi" w:cstheme="minorHAnsi"/>
          <w:b/>
          <w:sz w:val="22"/>
          <w:u w:val="single" w:color="000000"/>
        </w:rPr>
        <w:t>IGC Postgraduate Studies Committee</w:t>
      </w:r>
      <w:r w:rsidRPr="00481C7E">
        <w:rPr>
          <w:rFonts w:asciiTheme="minorHAnsi" w:hAnsiTheme="minorHAnsi" w:cstheme="minorHAnsi"/>
          <w:sz w:val="22"/>
        </w:rPr>
        <w:t xml:space="preserve"> </w:t>
      </w:r>
    </w:p>
    <w:p w14:paraId="2050E121" w14:textId="1C764169" w:rsidR="00481C7E" w:rsidRPr="00481C7E" w:rsidRDefault="00481C7E" w:rsidP="00481C7E">
      <w:pPr>
        <w:spacing w:after="365" w:line="265" w:lineRule="auto"/>
        <w:ind w:left="-5"/>
        <w:rPr>
          <w:rFonts w:asciiTheme="minorHAnsi" w:hAnsiTheme="minorHAnsi" w:cstheme="minorHAnsi"/>
        </w:rPr>
      </w:pPr>
      <w:r w:rsidRPr="00481C7E">
        <w:rPr>
          <w:rFonts w:asciiTheme="minorHAnsi" w:hAnsiTheme="minorHAnsi" w:cstheme="minorHAnsi"/>
          <w:sz w:val="22"/>
        </w:rPr>
        <w:t>Thursday 23</w:t>
      </w:r>
      <w:r w:rsidRPr="00481C7E">
        <w:rPr>
          <w:rFonts w:asciiTheme="minorHAnsi" w:hAnsiTheme="minorHAnsi" w:cstheme="minorHAnsi"/>
          <w:sz w:val="22"/>
          <w:vertAlign w:val="superscript"/>
        </w:rPr>
        <w:t>rd</w:t>
      </w:r>
      <w:r w:rsidRPr="00481C7E">
        <w:rPr>
          <w:rFonts w:asciiTheme="minorHAnsi" w:hAnsiTheme="minorHAnsi" w:cstheme="minorHAnsi"/>
          <w:sz w:val="22"/>
        </w:rPr>
        <w:t xml:space="preserve"> July 2026</w:t>
      </w:r>
    </w:p>
    <w:p w14:paraId="59D96383" w14:textId="77777777" w:rsidR="00481C7E" w:rsidRPr="00481C7E" w:rsidRDefault="00481C7E" w:rsidP="00481C7E">
      <w:pPr>
        <w:spacing w:after="69" w:line="259" w:lineRule="auto"/>
        <w:ind w:left="0" w:firstLine="0"/>
        <w:rPr>
          <w:rFonts w:asciiTheme="minorHAnsi" w:hAnsiTheme="minorHAnsi" w:cstheme="minorHAnsi"/>
        </w:rPr>
      </w:pPr>
      <w:r w:rsidRPr="00481C7E">
        <w:rPr>
          <w:rFonts w:asciiTheme="minorHAnsi" w:eastAsia="Calibri" w:hAnsiTheme="minorHAnsi" w:cstheme="minorHAnsi"/>
          <w:b/>
          <w:sz w:val="22"/>
        </w:rPr>
        <w:t xml:space="preserve">Present: </w:t>
      </w:r>
    </w:p>
    <w:p w14:paraId="03CB7F19" w14:textId="397F5497" w:rsidR="00481C7E" w:rsidRPr="00481C7E" w:rsidRDefault="00481C7E" w:rsidP="00481C7E">
      <w:pPr>
        <w:spacing w:after="64" w:line="265" w:lineRule="auto"/>
        <w:ind w:left="-5"/>
        <w:rPr>
          <w:rFonts w:asciiTheme="minorHAnsi" w:hAnsiTheme="minorHAnsi" w:cstheme="minorHAnsi"/>
        </w:rPr>
      </w:pPr>
      <w:r w:rsidRPr="00481C7E">
        <w:rPr>
          <w:rFonts w:asciiTheme="minorHAnsi" w:hAnsiTheme="minorHAnsi" w:cstheme="minorHAnsi"/>
          <w:sz w:val="22"/>
        </w:rPr>
        <w:t>Kevin Myant</w:t>
      </w:r>
      <w:r w:rsidRPr="00481C7E">
        <w:rPr>
          <w:rFonts w:asciiTheme="minorHAnsi" w:hAnsiTheme="minorHAnsi" w:cstheme="minorHAnsi"/>
          <w:sz w:val="22"/>
        </w:rPr>
        <w:t xml:space="preserve"> (Chair) </w:t>
      </w:r>
    </w:p>
    <w:p w14:paraId="569A82C3" w14:textId="46F507C3" w:rsidR="00481C7E" w:rsidRPr="00481C7E" w:rsidRDefault="00481C7E" w:rsidP="00481C7E">
      <w:pPr>
        <w:spacing w:after="64" w:line="265" w:lineRule="auto"/>
        <w:ind w:left="-5"/>
        <w:rPr>
          <w:rFonts w:asciiTheme="minorHAnsi" w:hAnsiTheme="minorHAnsi" w:cstheme="minorHAnsi"/>
        </w:rPr>
      </w:pPr>
      <w:r w:rsidRPr="00481C7E">
        <w:rPr>
          <w:rFonts w:asciiTheme="minorHAnsi" w:hAnsiTheme="minorHAnsi" w:cstheme="minorHAnsi"/>
          <w:sz w:val="22"/>
        </w:rPr>
        <w:t xml:space="preserve">Susan Farrington </w:t>
      </w:r>
    </w:p>
    <w:p w14:paraId="1A1173C7" w14:textId="0FCA1B9A" w:rsidR="00481C7E" w:rsidRPr="00481C7E" w:rsidRDefault="00481C7E" w:rsidP="00481C7E">
      <w:pPr>
        <w:spacing w:after="64" w:line="265" w:lineRule="auto"/>
        <w:ind w:left="-5"/>
        <w:rPr>
          <w:rFonts w:asciiTheme="minorHAnsi" w:hAnsiTheme="minorHAnsi" w:cstheme="minorHAnsi"/>
          <w:sz w:val="22"/>
        </w:rPr>
      </w:pPr>
      <w:r w:rsidRPr="00481C7E">
        <w:rPr>
          <w:rFonts w:asciiTheme="minorHAnsi" w:hAnsiTheme="minorHAnsi" w:cstheme="minorHAnsi"/>
          <w:sz w:val="22"/>
        </w:rPr>
        <w:t>Duncan Sproul</w:t>
      </w:r>
    </w:p>
    <w:p w14:paraId="496529DD" w14:textId="5791A854" w:rsidR="00481C7E" w:rsidRPr="00481C7E" w:rsidRDefault="00481C7E" w:rsidP="00481C7E">
      <w:pPr>
        <w:spacing w:after="349" w:line="265" w:lineRule="auto"/>
        <w:ind w:left="-5"/>
        <w:rPr>
          <w:rFonts w:asciiTheme="minorHAnsi" w:hAnsiTheme="minorHAnsi" w:cstheme="minorHAnsi"/>
          <w:sz w:val="22"/>
        </w:rPr>
      </w:pPr>
      <w:r w:rsidRPr="00481C7E">
        <w:rPr>
          <w:rFonts w:asciiTheme="minorHAnsi" w:hAnsiTheme="minorHAnsi" w:cstheme="minorHAnsi"/>
          <w:sz w:val="22"/>
        </w:rPr>
        <w:t xml:space="preserve">Alana Johnson (minutes) </w:t>
      </w:r>
    </w:p>
    <w:p w14:paraId="1A7BFDA2" w14:textId="02A9F990" w:rsidR="00481C7E" w:rsidRPr="00481C7E" w:rsidRDefault="00481C7E" w:rsidP="00481C7E">
      <w:pPr>
        <w:spacing w:after="69" w:line="259" w:lineRule="auto"/>
        <w:ind w:left="0" w:firstLine="0"/>
        <w:rPr>
          <w:rFonts w:asciiTheme="minorHAnsi" w:hAnsiTheme="minorHAnsi" w:cstheme="minorHAnsi"/>
        </w:rPr>
      </w:pPr>
      <w:r w:rsidRPr="00481C7E">
        <w:rPr>
          <w:rFonts w:asciiTheme="minorHAnsi" w:eastAsia="Calibri" w:hAnsiTheme="minorHAnsi" w:cstheme="minorHAnsi"/>
          <w:b/>
          <w:sz w:val="22"/>
        </w:rPr>
        <w:t>Apologies</w:t>
      </w:r>
      <w:r w:rsidRPr="00481C7E">
        <w:rPr>
          <w:rFonts w:asciiTheme="minorHAnsi" w:eastAsia="Calibri" w:hAnsiTheme="minorHAnsi" w:cstheme="minorHAnsi"/>
          <w:b/>
          <w:sz w:val="22"/>
        </w:rPr>
        <w:t xml:space="preserve">: </w:t>
      </w:r>
    </w:p>
    <w:p w14:paraId="47B39AD4" w14:textId="48CFE25C" w:rsidR="009265C8" w:rsidRDefault="00481C7E" w:rsidP="00EB2E86">
      <w:pPr>
        <w:spacing w:after="349" w:line="265" w:lineRule="auto"/>
        <w:ind w:left="-5"/>
      </w:pPr>
      <w:r w:rsidRPr="00481C7E">
        <w:rPr>
          <w:rFonts w:asciiTheme="minorHAnsi" w:hAnsiTheme="minorHAnsi" w:cstheme="minorHAnsi"/>
        </w:rPr>
        <w:t>Ian Adams</w:t>
      </w:r>
      <w:r>
        <w:rPr>
          <w:rFonts w:asciiTheme="minorHAnsi" w:hAnsiTheme="minorHAnsi" w:cstheme="minorHAnsi"/>
        </w:rPr>
        <w:br/>
      </w:r>
    </w:p>
    <w:p w14:paraId="4551701E" w14:textId="77777777" w:rsidR="00556F9F" w:rsidRDefault="00556F9F" w:rsidP="00556F9F">
      <w:pPr>
        <w:spacing w:after="349" w:line="265" w:lineRule="auto"/>
        <w:ind w:left="-15" w:firstLine="0"/>
      </w:pPr>
      <w:r>
        <w:rPr>
          <w:b/>
          <w:bCs/>
        </w:rPr>
        <w:t>T</w:t>
      </w:r>
      <w:r w:rsidRPr="00481C7E">
        <w:rPr>
          <w:b/>
          <w:bCs/>
        </w:rPr>
        <w:t>hesis</w:t>
      </w:r>
      <w:r w:rsidRPr="00481C7E">
        <w:rPr>
          <w:rFonts w:ascii="Cambria Math" w:eastAsia="Calibri" w:hAnsi="Cambria Math" w:cs="Cambria Math"/>
          <w:b/>
          <w:bCs/>
        </w:rPr>
        <w:t>‑</w:t>
      </w:r>
      <w:r w:rsidRPr="00481C7E">
        <w:rPr>
          <w:b/>
          <w:bCs/>
        </w:rPr>
        <w:t>committee compositions</w:t>
      </w:r>
    </w:p>
    <w:p w14:paraId="03A8D423" w14:textId="3F9A63CB" w:rsidR="004941BF" w:rsidRDefault="00F24F1F" w:rsidP="00915398">
      <w:pPr>
        <w:pStyle w:val="ListParagraph"/>
        <w:numPr>
          <w:ilvl w:val="0"/>
          <w:numId w:val="1"/>
        </w:numPr>
        <w:ind w:right="12"/>
      </w:pPr>
      <w:r w:rsidRPr="00915398">
        <w:t xml:space="preserve">Team agreed to formalize thesis committees and </w:t>
      </w:r>
      <w:r w:rsidR="00556F9F" w:rsidRPr="00915398">
        <w:t>continue with the current</w:t>
      </w:r>
      <w:r w:rsidRPr="00915398">
        <w:t xml:space="preserve"> forma</w:t>
      </w:r>
      <w:r w:rsidR="00556F9F" w:rsidRPr="00915398">
        <w:t xml:space="preserve">t for </w:t>
      </w:r>
      <w:r w:rsidRPr="00915398">
        <w:t>10</w:t>
      </w:r>
      <w:r w:rsidRPr="00915398">
        <w:rPr>
          <w:rFonts w:ascii="Cambria Math" w:eastAsia="Calibri" w:hAnsi="Cambria Math" w:cs="Cambria Math"/>
        </w:rPr>
        <w:t>‑</w:t>
      </w:r>
      <w:r w:rsidRPr="00915398">
        <w:t>week review</w:t>
      </w:r>
      <w:r w:rsidR="00556F9F" w:rsidRPr="00915398">
        <w:t>s</w:t>
      </w:r>
      <w:r w:rsidRPr="00915398">
        <w:t xml:space="preserve"> for incoming PhD </w:t>
      </w:r>
      <w:r w:rsidR="00915398" w:rsidRPr="00915398">
        <w:t>students.</w:t>
      </w:r>
      <w:r w:rsidRPr="00915398">
        <w:t xml:space="preserve"> Target: </w:t>
      </w:r>
      <w:r w:rsidR="00915398">
        <w:t xml:space="preserve">PG directors to </w:t>
      </w:r>
      <w:r w:rsidRPr="00915398">
        <w:t xml:space="preserve">set committee chairs early </w:t>
      </w:r>
      <w:r w:rsidR="00915398">
        <w:t xml:space="preserve">on </w:t>
      </w:r>
      <w:r w:rsidRPr="00915398">
        <w:t>(</w:t>
      </w:r>
      <w:r w:rsidR="00556F9F" w:rsidRPr="00915398">
        <w:t>from new intake</w:t>
      </w:r>
      <w:r w:rsidRPr="00915398">
        <w:t>).</w:t>
      </w:r>
      <w:r w:rsidR="00556F9F" w:rsidRPr="00915398">
        <w:t xml:space="preserve"> </w:t>
      </w:r>
      <w:r w:rsidRPr="00915398">
        <w:t>Need to collect and centralize thesis</w:t>
      </w:r>
      <w:r w:rsidRPr="00915398">
        <w:rPr>
          <w:rFonts w:ascii="Cambria Math" w:eastAsia="Calibri" w:hAnsi="Cambria Math" w:cs="Cambria Math"/>
        </w:rPr>
        <w:t>‑</w:t>
      </w:r>
      <w:r w:rsidRPr="00915398">
        <w:t>committee data (student, project title, supervisors, committee composition) so chairs can be appointed and workloads balanced; expected ~20 students in September (rough split ~5 each).</w:t>
      </w:r>
      <w:r w:rsidR="004941BF">
        <w:br/>
      </w:r>
    </w:p>
    <w:p w14:paraId="2104CBC8" w14:textId="77777777" w:rsidR="004941BF" w:rsidRDefault="004941BF" w:rsidP="00915398">
      <w:pPr>
        <w:pStyle w:val="ListParagraph"/>
        <w:numPr>
          <w:ilvl w:val="0"/>
          <w:numId w:val="1"/>
        </w:numPr>
        <w:ind w:right="12"/>
      </w:pPr>
      <w:r>
        <w:t>AJ to continue collating thesis committee member details for all new and continuing students; collate a spreadsheet with all students/thesis committee members to evaluate numbers when appointing chairs.</w:t>
      </w:r>
      <w:r>
        <w:br/>
      </w:r>
    </w:p>
    <w:p w14:paraId="46F92AF5" w14:textId="698CF696" w:rsidR="009265C8" w:rsidRPr="004941BF" w:rsidRDefault="004941BF" w:rsidP="00915398">
      <w:pPr>
        <w:pStyle w:val="ListParagraph"/>
        <w:numPr>
          <w:ilvl w:val="0"/>
          <w:numId w:val="1"/>
        </w:numPr>
        <w:ind w:right="12"/>
        <w:rPr>
          <w:bCs/>
        </w:rPr>
      </w:pPr>
      <w:r w:rsidRPr="004941BF">
        <w:rPr>
          <w:bCs/>
        </w:rPr>
        <w:t>F</w:t>
      </w:r>
      <w:r w:rsidRPr="004941BF">
        <w:rPr>
          <w:bCs/>
        </w:rPr>
        <w:t>ormalize thesis committees across themes so consistency is achieved (chairs appointed, expectations clear, committee composition recorded on Euclid/IGC forms).</w:t>
      </w:r>
      <w:r w:rsidR="00915398" w:rsidRPr="004941BF">
        <w:rPr>
          <w:bCs/>
        </w:rPr>
        <w:br/>
      </w:r>
    </w:p>
    <w:p w14:paraId="6E82C6D9" w14:textId="67FA2E5D" w:rsidR="00915398" w:rsidRDefault="00915398" w:rsidP="00915398">
      <w:pPr>
        <w:spacing w:after="349" w:line="265" w:lineRule="auto"/>
        <w:ind w:left="-15" w:firstLine="0"/>
      </w:pPr>
      <w:r>
        <w:rPr>
          <w:b/>
          <w:bCs/>
        </w:rPr>
        <w:t>External Funding Collaborations including out-with UK</w:t>
      </w:r>
    </w:p>
    <w:p w14:paraId="5FF1DD68" w14:textId="59AD8774" w:rsidR="009265C8" w:rsidRDefault="00F24F1F" w:rsidP="00915398">
      <w:pPr>
        <w:pStyle w:val="ListParagraph"/>
        <w:numPr>
          <w:ilvl w:val="0"/>
          <w:numId w:val="1"/>
        </w:numPr>
        <w:spacing w:after="591"/>
        <w:ind w:right="12"/>
      </w:pPr>
      <w:r>
        <w:t xml:space="preserve">Exploring external collaboration/funding opportunities with </w:t>
      </w:r>
      <w:r w:rsidRPr="00915398">
        <w:rPr>
          <w:b/>
        </w:rPr>
        <w:t>He</w:t>
      </w:r>
      <w:r w:rsidR="00481C7E" w:rsidRPr="00915398">
        <w:rPr>
          <w:b/>
        </w:rPr>
        <w:t>rriot Watt</w:t>
      </w:r>
      <w:r w:rsidRPr="00915398">
        <w:rPr>
          <w:b/>
        </w:rPr>
        <w:t xml:space="preserve"> </w:t>
      </w:r>
      <w:r>
        <w:t xml:space="preserve">and </w:t>
      </w:r>
      <w:r w:rsidRPr="00915398">
        <w:rPr>
          <w:b/>
        </w:rPr>
        <w:t xml:space="preserve">Dundee </w:t>
      </w:r>
      <w:r>
        <w:t>(possible BBSRC / focal awards, DTPs, and EU/Poland networks such as RACE) as routes to secure studentships and research links.</w:t>
      </w:r>
      <w:r w:rsidR="00915398">
        <w:t xml:space="preserve"> SF to email her contact at Herriot Watt &amp; DS will look to speak to Tom Deegan for contacts. Set up a meeting.</w:t>
      </w:r>
    </w:p>
    <w:p w14:paraId="33665F80" w14:textId="61E93512" w:rsidR="00915398" w:rsidRDefault="00915398" w:rsidP="00915398">
      <w:pPr>
        <w:pStyle w:val="ListParagraph"/>
        <w:numPr>
          <w:ilvl w:val="0"/>
          <w:numId w:val="1"/>
        </w:numPr>
        <w:ind w:right="12"/>
      </w:pPr>
      <w:r>
        <w:t>Herriot Watt</w:t>
      </w:r>
      <w:r>
        <w:t xml:space="preserve"> </w:t>
      </w:r>
      <w:r w:rsidR="004941BF">
        <w:t>University:</w:t>
      </w:r>
      <w:r>
        <w:t xml:space="preserve"> strong in </w:t>
      </w:r>
      <w:r w:rsidRPr="00915398">
        <w:rPr>
          <w:b/>
        </w:rPr>
        <w:t xml:space="preserve">tissue engineering / microscopy / cancer models </w:t>
      </w:r>
      <w:r w:rsidRPr="00915398">
        <w:rPr>
          <w:rFonts w:ascii="Calibri" w:eastAsia="Calibri" w:hAnsi="Calibri" w:cs="Calibri"/>
        </w:rPr>
        <w:t xml:space="preserve">— </w:t>
      </w:r>
      <w:r>
        <w:t>seen as a promising partner for focal awards or DTPs (could lead schemes or act as a partner).</w:t>
      </w:r>
      <w:r>
        <w:br/>
      </w:r>
    </w:p>
    <w:p w14:paraId="0A00D06B" w14:textId="7F942FC2" w:rsidR="00915398" w:rsidRDefault="00915398" w:rsidP="00915398">
      <w:pPr>
        <w:pStyle w:val="ListParagraph"/>
        <w:numPr>
          <w:ilvl w:val="0"/>
          <w:numId w:val="1"/>
        </w:numPr>
        <w:ind w:right="12"/>
      </w:pPr>
      <w:r>
        <w:t>Dundee</w:t>
      </w:r>
      <w:r>
        <w:t xml:space="preserve"> University</w:t>
      </w:r>
      <w:r>
        <w:t>: strong capabilities (PPU/protein/transformation unit, drug discovery, disease models) but financial stability concerns were raised; care needed if Dundee leads</w:t>
      </w:r>
      <w:r w:rsidR="004941BF">
        <w:t>.</w:t>
      </w:r>
      <w:r>
        <w:br/>
      </w:r>
    </w:p>
    <w:p w14:paraId="7992FF4C" w14:textId="69B35A46" w:rsidR="00915398" w:rsidRDefault="00915398" w:rsidP="00915398">
      <w:pPr>
        <w:pStyle w:val="ListParagraph"/>
        <w:numPr>
          <w:ilvl w:val="0"/>
          <w:numId w:val="1"/>
        </w:numPr>
        <w:ind w:right="12"/>
      </w:pPr>
      <w:r>
        <w:t xml:space="preserve">European / </w:t>
      </w:r>
      <w:r w:rsidR="004941BF">
        <w:t>I</w:t>
      </w:r>
      <w:r>
        <w:t xml:space="preserve">nternational networks (e.g., </w:t>
      </w:r>
      <w:r>
        <w:rPr>
          <w:b/>
        </w:rPr>
        <w:t xml:space="preserve">RACE </w:t>
      </w:r>
      <w:r>
        <w:t>collaboration with Warsaw, Munich links): can bring students, visits and placement opportunities (Poland has active funding into recruitment and placements).</w:t>
      </w:r>
      <w:r>
        <w:t xml:space="preserve"> </w:t>
      </w:r>
      <w:r>
        <w:t>Focal awards vs big cross</w:t>
      </w:r>
      <w:r>
        <w:rPr>
          <w:rFonts w:ascii="Calibri" w:eastAsia="Calibri" w:hAnsi="Calibri" w:cs="Calibri"/>
        </w:rPr>
        <w:t>‑</w:t>
      </w:r>
      <w:r>
        <w:t>institution DTPs: focal awards can be led by one institution (smaller, subject</w:t>
      </w:r>
      <w:r>
        <w:rPr>
          <w:rFonts w:ascii="Calibri" w:eastAsia="Calibri" w:hAnsi="Calibri" w:cs="Calibri"/>
        </w:rPr>
        <w:t>‑</w:t>
      </w:r>
      <w:r>
        <w:t>specific); large cross</w:t>
      </w:r>
      <w:r>
        <w:rPr>
          <w:rFonts w:ascii="Calibri" w:eastAsia="Calibri" w:hAnsi="Calibri" w:cs="Calibri"/>
        </w:rPr>
        <w:t>‑</w:t>
      </w:r>
      <w:r>
        <w:t>institution DTPs require multi</w:t>
      </w:r>
      <w:r>
        <w:rPr>
          <w:rFonts w:ascii="Calibri" w:eastAsia="Calibri" w:hAnsi="Calibri" w:cs="Calibri"/>
        </w:rPr>
        <w:t>‑</w:t>
      </w:r>
      <w:r>
        <w:t>institution partnerships and broader training remit.</w:t>
      </w:r>
      <w:r>
        <w:br/>
      </w:r>
    </w:p>
    <w:p w14:paraId="51E2ABBF" w14:textId="55FA336B" w:rsidR="00915398" w:rsidRDefault="00915398" w:rsidP="00915398">
      <w:pPr>
        <w:pStyle w:val="ListParagraph"/>
        <w:numPr>
          <w:ilvl w:val="0"/>
          <w:numId w:val="1"/>
        </w:numPr>
        <w:ind w:right="12"/>
      </w:pPr>
      <w:r>
        <w:t xml:space="preserve">Practical route discussed: </w:t>
      </w:r>
      <w:r w:rsidRPr="00915398">
        <w:rPr>
          <w:bCs/>
        </w:rPr>
        <w:t>Arrange exploratory meetings with Herriot Watt contacts and probe Dundee contacts (Andrew / Tom / Greg) to assess interest and realistic commitments.</w:t>
      </w:r>
      <w:r>
        <w:rPr>
          <w:bCs/>
        </w:rPr>
        <w:t xml:space="preserve"> DF to </w:t>
      </w:r>
      <w:r w:rsidR="004941BF">
        <w:rPr>
          <w:bCs/>
        </w:rPr>
        <w:t>contact Tom Deegan/Greg Kudla for contacts to explore collaboration opportunities and check with Greg in regards to possible European routes to bring students and/or collaborate. SF to email Herriot Watt contact to propose a visit to discuss tissue-engineering collaborations and potential PhD opportunities; propose dates for a joint visit.</w:t>
      </w:r>
    </w:p>
    <w:p w14:paraId="713257FC" w14:textId="77777777" w:rsidR="00915398" w:rsidRDefault="00915398" w:rsidP="00915398">
      <w:pPr>
        <w:spacing w:after="591"/>
        <w:ind w:left="0" w:right="12" w:firstLine="0"/>
      </w:pPr>
    </w:p>
    <w:p w14:paraId="5E4C5C0C" w14:textId="1028E4F5" w:rsidR="004941BF" w:rsidRDefault="004941BF" w:rsidP="004941BF">
      <w:pPr>
        <w:spacing w:after="349" w:line="265" w:lineRule="auto"/>
        <w:ind w:left="-15" w:firstLine="0"/>
        <w:rPr>
          <w:b/>
          <w:bCs/>
        </w:rPr>
      </w:pPr>
      <w:r>
        <w:rPr>
          <w:b/>
          <w:bCs/>
        </w:rPr>
        <w:lastRenderedPageBreak/>
        <w:t>Supervisory guidance</w:t>
      </w:r>
    </w:p>
    <w:p w14:paraId="3FDBC6DA" w14:textId="77777777" w:rsidR="00EB2E86" w:rsidRDefault="004941BF" w:rsidP="00EB2E86">
      <w:pPr>
        <w:pStyle w:val="ListParagraph"/>
        <w:numPr>
          <w:ilvl w:val="0"/>
          <w:numId w:val="2"/>
        </w:numPr>
        <w:spacing w:after="349" w:line="265" w:lineRule="auto"/>
      </w:pPr>
      <w:r>
        <w:t xml:space="preserve">There is </w:t>
      </w:r>
      <w:r w:rsidR="00EB2E86">
        <w:t xml:space="preserve">ambiguity between practice and written eligibility in regards to new supervisors. In practice IGC has always maintained that a supervisor can be made principal supervisor after 1 year of supervising a student however the eligibility to supervise form has conflicting data. It suggests primary supervisors should have prior co-supervision experience (PhD student completion). </w:t>
      </w:r>
      <w:r>
        <w:t xml:space="preserve"> </w:t>
      </w:r>
    </w:p>
    <w:p w14:paraId="487C73FE" w14:textId="77777777" w:rsidR="00EB2E86" w:rsidRDefault="00EB2E86" w:rsidP="00EB2E86">
      <w:pPr>
        <w:pStyle w:val="ListParagraph"/>
        <w:spacing w:after="349" w:line="265" w:lineRule="auto"/>
        <w:ind w:firstLine="0"/>
      </w:pPr>
    </w:p>
    <w:p w14:paraId="10FFF1CD" w14:textId="503DFCEC" w:rsidR="009265C8" w:rsidRDefault="00F24F1F" w:rsidP="00EB2E86">
      <w:pPr>
        <w:pStyle w:val="ListParagraph"/>
        <w:numPr>
          <w:ilvl w:val="0"/>
          <w:numId w:val="2"/>
        </w:numPr>
        <w:spacing w:after="349" w:line="265" w:lineRule="auto"/>
      </w:pPr>
      <w:r>
        <w:t>In practice, many units have not consistently enforced the strict eligibility rule (early</w:t>
      </w:r>
      <w:r w:rsidRPr="00EB2E86">
        <w:rPr>
          <w:rFonts w:ascii="Cambria Math" w:eastAsia="Calibri" w:hAnsi="Cambria Math" w:cs="Cambria Math"/>
        </w:rPr>
        <w:t>‑</w:t>
      </w:r>
      <w:r>
        <w:t>career PIs sometimes act as primary supervisors after co</w:t>
      </w:r>
      <w:r w:rsidRPr="00EB2E86">
        <w:rPr>
          <w:rFonts w:ascii="Cambria Math" w:eastAsia="Calibri" w:hAnsi="Cambria Math" w:cs="Cambria Math"/>
        </w:rPr>
        <w:t>‑</w:t>
      </w:r>
      <w:r>
        <w:t>supervisory arrangements or transitional periods).</w:t>
      </w:r>
    </w:p>
    <w:p w14:paraId="6B6AF15D" w14:textId="77777777" w:rsidR="00EB2E86" w:rsidRDefault="00EB2E86" w:rsidP="00EB2E86">
      <w:pPr>
        <w:pStyle w:val="ListParagraph"/>
      </w:pPr>
    </w:p>
    <w:p w14:paraId="751CC2D2" w14:textId="02205CD3" w:rsidR="00EB2E86" w:rsidRDefault="00EB2E86" w:rsidP="00EB2E86">
      <w:pPr>
        <w:pStyle w:val="ListParagraph"/>
        <w:numPr>
          <w:ilvl w:val="0"/>
          <w:numId w:val="2"/>
        </w:numPr>
        <w:spacing w:after="349" w:line="265" w:lineRule="auto"/>
      </w:pPr>
      <w:r>
        <w:t>Action complete: KM checked with Ruth Andrew who agrees the form is conflicting and will look to have this changed. The current guidance can stand, co-supervise for a year and can be changed to principal after this time. The decision for principal supervisor is decided by the PG directors and should only cover the student in question.</w:t>
      </w:r>
    </w:p>
    <w:p w14:paraId="30872531" w14:textId="27D3A77F" w:rsidR="009265C8" w:rsidRDefault="009265C8" w:rsidP="00915398">
      <w:pPr>
        <w:ind w:left="0" w:right="12" w:firstLine="0"/>
      </w:pPr>
    </w:p>
    <w:p w14:paraId="4EE43CB0" w14:textId="24C1C000" w:rsidR="00FF53FF" w:rsidRDefault="00FF53FF" w:rsidP="00FF53FF">
      <w:pPr>
        <w:spacing w:after="349" w:line="265" w:lineRule="auto"/>
        <w:ind w:left="-15" w:firstLine="0"/>
        <w:rPr>
          <w:b/>
          <w:bCs/>
        </w:rPr>
      </w:pPr>
      <w:r>
        <w:rPr>
          <w:b/>
          <w:bCs/>
        </w:rPr>
        <w:t>Outlook / Next steps</w:t>
      </w:r>
    </w:p>
    <w:p w14:paraId="443E09A6" w14:textId="03A2934C" w:rsidR="00FF53FF" w:rsidRPr="00FF53FF" w:rsidRDefault="00FF53FF" w:rsidP="00FF53FF">
      <w:pPr>
        <w:pStyle w:val="ListParagraph"/>
        <w:numPr>
          <w:ilvl w:val="0"/>
          <w:numId w:val="3"/>
        </w:numPr>
        <w:spacing w:after="349" w:line="265" w:lineRule="auto"/>
        <w:rPr>
          <w:b/>
          <w:bCs/>
        </w:rPr>
      </w:pPr>
      <w:r>
        <w:t>Finalize thesis</w:t>
      </w:r>
      <w:r>
        <w:rPr>
          <w:rFonts w:ascii="Calibri" w:eastAsia="Calibri" w:hAnsi="Calibri" w:cs="Calibri"/>
        </w:rPr>
        <w:t>‑</w:t>
      </w:r>
      <w:r>
        <w:t>committee guidance, circulate to unit and implement as a standardized process for the next intake. A formal email will announce the implementation and allow some initial leeway for the first year.</w:t>
      </w:r>
      <w:r>
        <w:br/>
      </w:r>
    </w:p>
    <w:p w14:paraId="52F7DE5F" w14:textId="3F71F6EB" w:rsidR="00FF53FF" w:rsidRPr="00FF53FF" w:rsidRDefault="00FF53FF" w:rsidP="00FF53FF">
      <w:pPr>
        <w:pStyle w:val="ListParagraph"/>
        <w:numPr>
          <w:ilvl w:val="0"/>
          <w:numId w:val="3"/>
        </w:numPr>
        <w:spacing w:after="349" w:line="265" w:lineRule="auto"/>
        <w:rPr>
          <w:b/>
          <w:bCs/>
        </w:rPr>
      </w:pPr>
      <w:r>
        <w:t>Parallel exploratory work on collaborations/funding: set up short visits/meetings with Herriot Watt and Dundee, and scan for European doctoral networks (RACE, Marie Curie, Poland/ Munich links) that could deliver studentships or joint training.</w:t>
      </w:r>
      <w:r>
        <w:br/>
      </w:r>
    </w:p>
    <w:p w14:paraId="0271A384" w14:textId="3D0FB0A2" w:rsidR="009265C8" w:rsidRPr="00FF53FF" w:rsidRDefault="00FF53FF" w:rsidP="00FF53FF">
      <w:pPr>
        <w:pStyle w:val="ListParagraph"/>
        <w:numPr>
          <w:ilvl w:val="0"/>
          <w:numId w:val="3"/>
        </w:numPr>
        <w:spacing w:after="349" w:line="265" w:lineRule="auto"/>
        <w:rPr>
          <w:b/>
          <w:bCs/>
        </w:rPr>
      </w:pPr>
      <w:r>
        <w:t>Monitor committee membership counts and enforce limits to avoid overloading particular chairs; ensure committee chairs and second supervisors are appointed with student input where appropriate.</w:t>
      </w:r>
    </w:p>
    <w:sectPr w:rsidR="009265C8" w:rsidRPr="00FF53FF">
      <w:pgSz w:w="11906" w:h="16838"/>
      <w:pgMar w:top="1134" w:right="1156" w:bottom="966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042B15"/>
    <w:multiLevelType w:val="hybridMultilevel"/>
    <w:tmpl w:val="0776AFBE"/>
    <w:lvl w:ilvl="0" w:tplc="275EA21E">
      <w:start w:val="1"/>
      <w:numFmt w:val="bullet"/>
      <w:lvlText w:val="•"/>
      <w:lvlJc w:val="left"/>
      <w:pPr>
        <w:ind w:left="705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1" w15:restartNumberingAfterBreak="0">
    <w:nsid w:val="48B17042"/>
    <w:multiLevelType w:val="hybridMultilevel"/>
    <w:tmpl w:val="81260050"/>
    <w:lvl w:ilvl="0" w:tplc="275EA21E">
      <w:start w:val="1"/>
      <w:numFmt w:val="bullet"/>
      <w:lvlText w:val="•"/>
      <w:lvlJc w:val="left"/>
      <w:pPr>
        <w:ind w:left="705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2" w15:restartNumberingAfterBreak="0">
    <w:nsid w:val="521E14F7"/>
    <w:multiLevelType w:val="hybridMultilevel"/>
    <w:tmpl w:val="7C52DBB0"/>
    <w:lvl w:ilvl="0" w:tplc="275EA21E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65C8"/>
    <w:rsid w:val="00481C7E"/>
    <w:rsid w:val="004941BF"/>
    <w:rsid w:val="00556F9F"/>
    <w:rsid w:val="00915398"/>
    <w:rsid w:val="009265C8"/>
    <w:rsid w:val="00EB2E86"/>
    <w:rsid w:val="00F24F1F"/>
    <w:rsid w:val="00FF5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3B3EC2"/>
  <w15:docId w15:val="{874C4BF5-606F-4D00-A7E8-42640B4D4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17" w:line="251" w:lineRule="auto"/>
      <w:ind w:left="10" w:hanging="10"/>
    </w:pPr>
    <w:rPr>
      <w:rFonts w:ascii="Arial" w:eastAsia="Arial" w:hAnsi="Arial" w:cs="Arial"/>
      <w:color w:val="000000"/>
      <w:sz w:val="2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69"/>
      <w:ind w:left="10" w:hanging="10"/>
      <w:outlineLvl w:val="0"/>
    </w:pPr>
    <w:rPr>
      <w:rFonts w:ascii="Arial" w:eastAsia="Arial" w:hAnsi="Arial" w:cs="Arial"/>
      <w:b/>
      <w:color w:val="000000"/>
      <w:sz w:val="40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71"/>
      <w:ind w:left="130" w:hanging="10"/>
      <w:outlineLvl w:val="1"/>
    </w:pPr>
    <w:rPr>
      <w:rFonts w:ascii="Arial" w:eastAsia="Arial" w:hAnsi="Arial" w:cs="Arial"/>
      <w:b/>
      <w:color w:val="000000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Arial" w:eastAsia="Arial" w:hAnsi="Arial" w:cs="Arial"/>
      <w:b/>
      <w:color w:val="000000"/>
      <w:sz w:val="20"/>
    </w:rPr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40"/>
    </w:rPr>
  </w:style>
  <w:style w:type="paragraph" w:styleId="ListParagraph">
    <w:name w:val="List Paragraph"/>
    <w:basedOn w:val="Normal"/>
    <w:uiPriority w:val="34"/>
    <w:qFormat/>
    <w:rsid w:val="00481C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640</Words>
  <Characters>3652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Edinburgh</Company>
  <LinksUpToDate>false</LinksUpToDate>
  <CharactersWithSpaces>4284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Alana Johnson</dc:creator>
  <cp:keywords/>
  <cp:lastModifiedBy>Alana Johnson</cp:lastModifiedBy>
  <cp:revision>5</cp:revision>
  <dcterms:created xsi:type="dcterms:W3CDTF">2026-07-23T11:17:00Z</dcterms:created>
  <dcterms:modified xsi:type="dcterms:W3CDTF">2026-07-24T09:12:00Z</dcterms:modified>
</cp:coreProperties>
</file>