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C9199" w14:textId="77777777" w:rsidR="00D71516" w:rsidRPr="00DA2B81" w:rsidRDefault="00D71516" w:rsidP="00D71516">
      <w:pPr>
        <w:jc w:val="center"/>
        <w:rPr>
          <w:rFonts w:ascii="Calibri" w:hAnsi="Calibri" w:cs="Calibri"/>
        </w:rPr>
      </w:pPr>
      <w:r w:rsidRPr="00DA2B81">
        <w:rPr>
          <w:rFonts w:ascii="Calibri" w:hAnsi="Calibri" w:cs="Calibri"/>
        </w:rPr>
        <w:t>IGC Staff Student Liaison Committee</w:t>
      </w:r>
    </w:p>
    <w:p w14:paraId="38DA59DC" w14:textId="2A27FE99" w:rsidR="00D71516" w:rsidRPr="00DA2B81" w:rsidRDefault="00D71516" w:rsidP="00D71516">
      <w:pPr>
        <w:jc w:val="center"/>
        <w:rPr>
          <w:rFonts w:ascii="Calibri" w:hAnsi="Calibri" w:cs="Calibri"/>
        </w:rPr>
      </w:pPr>
      <w:r>
        <w:rPr>
          <w:rFonts w:ascii="Calibri" w:hAnsi="Calibri" w:cs="Calibri"/>
        </w:rPr>
        <w:t>16</w:t>
      </w:r>
      <w:r w:rsidRPr="00D71516">
        <w:rPr>
          <w:rFonts w:ascii="Calibri" w:hAnsi="Calibri" w:cs="Calibri"/>
          <w:vertAlign w:val="superscript"/>
        </w:rPr>
        <w:t>th</w:t>
      </w:r>
      <w:r>
        <w:rPr>
          <w:rFonts w:ascii="Calibri" w:hAnsi="Calibri" w:cs="Calibri"/>
        </w:rPr>
        <w:t xml:space="preserve"> June 2026</w:t>
      </w:r>
    </w:p>
    <w:p w14:paraId="2BB622C1" w14:textId="77777777" w:rsidR="00D71516" w:rsidRPr="00DA2B81" w:rsidRDefault="00D71516" w:rsidP="00D71516">
      <w:pPr>
        <w:spacing w:after="0"/>
        <w:rPr>
          <w:rFonts w:ascii="Calibri" w:hAnsi="Calibri" w:cs="Calibri"/>
        </w:rPr>
      </w:pPr>
      <w:r w:rsidRPr="00DA2B81">
        <w:rPr>
          <w:rFonts w:ascii="Calibri" w:hAnsi="Calibri" w:cs="Calibri"/>
        </w:rPr>
        <w:t>Present:</w:t>
      </w:r>
    </w:p>
    <w:p w14:paraId="05600F66" w14:textId="77777777" w:rsidR="00D71516" w:rsidRPr="00DA2B81" w:rsidRDefault="00D71516" w:rsidP="00D71516">
      <w:pPr>
        <w:spacing w:after="0"/>
        <w:rPr>
          <w:rFonts w:ascii="Calibri" w:hAnsi="Calibri" w:cs="Calibri"/>
        </w:rPr>
      </w:pPr>
    </w:p>
    <w:p w14:paraId="513B61E5" w14:textId="77777777" w:rsidR="00D71516" w:rsidRPr="0088555B" w:rsidRDefault="00D71516" w:rsidP="00D71516">
      <w:pPr>
        <w:spacing w:after="0"/>
        <w:rPr>
          <w:rFonts w:ascii="Calibri" w:hAnsi="Calibri" w:cs="Calibri"/>
          <w:u w:val="single"/>
        </w:rPr>
      </w:pPr>
      <w:r w:rsidRPr="0088555B">
        <w:rPr>
          <w:rFonts w:ascii="Calibri" w:hAnsi="Calibri" w:cs="Calibri"/>
          <w:u w:val="single"/>
        </w:rPr>
        <w:t>Academic staff</w:t>
      </w:r>
    </w:p>
    <w:p w14:paraId="6E275D9D" w14:textId="0620F434" w:rsidR="00D71516" w:rsidRDefault="00D71516" w:rsidP="00D71516">
      <w:pPr>
        <w:spacing w:after="0"/>
        <w:rPr>
          <w:rFonts w:ascii="Calibri" w:hAnsi="Calibri" w:cs="Calibri"/>
        </w:rPr>
      </w:pPr>
      <w:r>
        <w:rPr>
          <w:rFonts w:ascii="Calibri" w:hAnsi="Calibri" w:cs="Calibri"/>
        </w:rPr>
        <w:t>Kevin Myant</w:t>
      </w:r>
    </w:p>
    <w:p w14:paraId="773F3E8D" w14:textId="414FC39B" w:rsidR="00D71516" w:rsidRDefault="00D71516" w:rsidP="00D71516">
      <w:pPr>
        <w:spacing w:after="0"/>
        <w:rPr>
          <w:rFonts w:ascii="Calibri" w:hAnsi="Calibri" w:cs="Calibri"/>
        </w:rPr>
      </w:pPr>
      <w:r>
        <w:rPr>
          <w:rFonts w:ascii="Calibri" w:hAnsi="Calibri" w:cs="Calibri"/>
        </w:rPr>
        <w:t xml:space="preserve">Dasa Longman </w:t>
      </w:r>
    </w:p>
    <w:p w14:paraId="1A63D785" w14:textId="3AF1F72F" w:rsidR="00D71516" w:rsidRPr="00DA2B81" w:rsidRDefault="00D71516" w:rsidP="00D71516">
      <w:pPr>
        <w:spacing w:after="0"/>
        <w:rPr>
          <w:rFonts w:ascii="Calibri" w:hAnsi="Calibri" w:cs="Calibri"/>
        </w:rPr>
      </w:pPr>
      <w:r>
        <w:rPr>
          <w:rFonts w:ascii="Calibri" w:hAnsi="Calibri" w:cs="Calibri"/>
        </w:rPr>
        <w:t xml:space="preserve">Alana Johnson </w:t>
      </w:r>
      <w:r>
        <w:rPr>
          <w:rFonts w:ascii="Calibri" w:hAnsi="Calibri" w:cs="Calibri"/>
        </w:rPr>
        <w:br/>
      </w:r>
    </w:p>
    <w:p w14:paraId="034FCEB4" w14:textId="77777777" w:rsidR="00D71516" w:rsidRPr="00F87879" w:rsidRDefault="00D71516" w:rsidP="00D71516">
      <w:pPr>
        <w:spacing w:after="0"/>
        <w:rPr>
          <w:rFonts w:ascii="Calibri" w:hAnsi="Calibri" w:cs="Calibri"/>
          <w:u w:val="single"/>
        </w:rPr>
      </w:pPr>
      <w:r w:rsidRPr="0088555B">
        <w:rPr>
          <w:rFonts w:ascii="Calibri" w:hAnsi="Calibri" w:cs="Calibri"/>
          <w:u w:val="single"/>
        </w:rPr>
        <w:t>Student Representatives</w:t>
      </w:r>
    </w:p>
    <w:p w14:paraId="25229B28" w14:textId="6131B2DE" w:rsidR="00493C5B" w:rsidRDefault="00D71516" w:rsidP="00D71516">
      <w:pPr>
        <w:rPr>
          <w:rFonts w:ascii="Calibri" w:hAnsi="Calibri" w:cs="Calibri"/>
        </w:rPr>
      </w:pPr>
      <w:r>
        <w:rPr>
          <w:rFonts w:ascii="Calibri" w:hAnsi="Calibri" w:cs="Calibri"/>
        </w:rPr>
        <w:t>Alba Munoz Grande</w:t>
      </w:r>
      <w:r>
        <w:rPr>
          <w:rFonts w:ascii="Calibri" w:hAnsi="Calibri" w:cs="Calibri"/>
        </w:rPr>
        <w:br/>
        <w:t>Hannah Juellig</w:t>
      </w:r>
      <w:r>
        <w:rPr>
          <w:rFonts w:ascii="Calibri" w:hAnsi="Calibri" w:cs="Calibri"/>
        </w:rPr>
        <w:br/>
        <w:t>Rory Stewart</w:t>
      </w:r>
      <w:r>
        <w:rPr>
          <w:rFonts w:ascii="Calibri" w:hAnsi="Calibri" w:cs="Calibri"/>
        </w:rPr>
        <w:br/>
        <w:t>Joseph Rowland</w:t>
      </w:r>
      <w:r>
        <w:rPr>
          <w:rFonts w:ascii="Calibri" w:hAnsi="Calibri" w:cs="Calibri"/>
        </w:rPr>
        <w:br/>
        <w:t>Chloe Brotherton</w:t>
      </w:r>
      <w:r w:rsidR="0055365E">
        <w:rPr>
          <w:rFonts w:ascii="Calibri" w:hAnsi="Calibri" w:cs="Calibri"/>
        </w:rPr>
        <w:br/>
      </w:r>
    </w:p>
    <w:p w14:paraId="25FC0475" w14:textId="77777777" w:rsidR="0055365E" w:rsidRDefault="0055365E" w:rsidP="0055365E">
      <w:pPr>
        <w:spacing w:after="641"/>
        <w:ind w:right="-6"/>
      </w:pPr>
      <w:r>
        <w:rPr>
          <w:noProof/>
        </w:rPr>
        <mc:AlternateContent>
          <mc:Choice Requires="wpg">
            <w:drawing>
              <wp:inline distT="0" distB="0" distL="0" distR="0" wp14:anchorId="6FFE5752" wp14:editId="0B68D602">
                <wp:extent cx="6502400" cy="6350"/>
                <wp:effectExtent l="0" t="0" r="0" b="0"/>
                <wp:docPr id="1929" name="Group 1929"/>
                <wp:cNvGraphicFramePr/>
                <a:graphic xmlns:a="http://schemas.openxmlformats.org/drawingml/2006/main">
                  <a:graphicData uri="http://schemas.microsoft.com/office/word/2010/wordprocessingGroup">
                    <wpg:wgp>
                      <wpg:cNvGrpSpPr/>
                      <wpg:grpSpPr>
                        <a:xfrm>
                          <a:off x="0" y="0"/>
                          <a:ext cx="6502400" cy="6350"/>
                          <a:chOff x="0" y="0"/>
                          <a:chExt cx="6502400" cy="6350"/>
                        </a:xfrm>
                      </wpg:grpSpPr>
                      <wps:wsp>
                        <wps:cNvPr id="61" name="Shape 61"/>
                        <wps:cNvSpPr/>
                        <wps:spPr>
                          <a:xfrm>
                            <a:off x="0" y="0"/>
                            <a:ext cx="6502400" cy="0"/>
                          </a:xfrm>
                          <a:custGeom>
                            <a:avLst/>
                            <a:gdLst/>
                            <a:ahLst/>
                            <a:cxnLst/>
                            <a:rect l="0" t="0" r="0" b="0"/>
                            <a:pathLst>
                              <a:path w="6502400">
                                <a:moveTo>
                                  <a:pt x="0" y="0"/>
                                </a:moveTo>
                                <a:lnTo>
                                  <a:pt x="6502400" y="0"/>
                                </a:lnTo>
                              </a:path>
                            </a:pathLst>
                          </a:custGeom>
                          <a:ln w="6350" cap="flat">
                            <a:miter lim="127000"/>
                          </a:ln>
                        </wps:spPr>
                        <wps:style>
                          <a:lnRef idx="1">
                            <a:srgbClr val="7F7F7F"/>
                          </a:lnRef>
                          <a:fillRef idx="0">
                            <a:srgbClr val="000000">
                              <a:alpha val="0"/>
                            </a:srgbClr>
                          </a:fillRef>
                          <a:effectRef idx="0">
                            <a:scrgbClr r="0" g="0" b="0"/>
                          </a:effectRef>
                          <a:fontRef idx="none"/>
                        </wps:style>
                        <wps:bodyPr/>
                      </wps:wsp>
                    </wpg:wgp>
                  </a:graphicData>
                </a:graphic>
              </wp:inline>
            </w:drawing>
          </mc:Choice>
          <mc:Fallback>
            <w:pict>
              <v:group w14:anchorId="628B3C6F" id="Group 1929" o:spid="_x0000_s1026" style="width:512pt;height:.5pt;mso-position-horizontal-relative:char;mso-position-vertical-relative:line" coordsize="650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">
                <v:shape id="Shape 61" o:spid="_x0000_s1027" style="position:absolute;width:65024;height:0;visibility:visible;mso-wrap-style:square;v-text-anchor:top" coordsize="650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" path="m,l6502400,e" filled="f" strokecolor="#7f7f7f" strokeweight=".5pt">
                  <v:stroke miterlimit="83231f" joinstyle="miter"/>
                  <v:path arrowok="t" textboxrect="0,0,6502400,0"/>
                </v:shape>
                <w10:anchorlock/>
              </v:group>
            </w:pict>
          </mc:Fallback>
        </mc:AlternateContent>
      </w:r>
    </w:p>
    <w:p w14:paraId="5043C6E8" w14:textId="77777777" w:rsidR="0055365E" w:rsidRDefault="0055365E" w:rsidP="0055365E">
      <w:pPr>
        <w:pStyle w:val="Heading1"/>
        <w:ind w:left="-5"/>
      </w:pPr>
      <w:r>
        <w:t>Supervision and Support</w:t>
      </w:r>
    </w:p>
    <w:p w14:paraId="53329A48" w14:textId="77777777" w:rsidR="0055365E" w:rsidRDefault="0055365E" w:rsidP="0055365E">
      <w:pPr>
        <w:numPr>
          <w:ilvl w:val="0"/>
          <w:numId w:val="1"/>
        </w:numPr>
        <w:spacing w:after="123" w:line="300" w:lineRule="auto"/>
        <w:ind w:hanging="290"/>
      </w:pPr>
      <w:r>
        <w:rPr>
          <w:rFonts w:ascii="Calibri" w:eastAsia="Calibri" w:hAnsi="Calibri" w:cs="Calibri"/>
        </w:rPr>
        <w:t>Postdoc Supervision Concerns:</w:t>
      </w:r>
      <w:r>
        <w:t xml:space="preserve"> Satisfaction with support from postdocs shows a significant drop compared to PI support, attributed to a lack of formal arrangements for day-to-day supervision. Students have high expectations, but postdocs lack official recognition or motivation for this role.</w:t>
      </w:r>
    </w:p>
    <w:p w14:paraId="57559A7D" w14:textId="77777777" w:rsidR="0055365E" w:rsidRDefault="0055365E" w:rsidP="0055365E">
      <w:pPr>
        <w:ind w:left="1890"/>
      </w:pPr>
      <w:r>
        <w:rPr>
          <w:rFonts w:ascii="Calibri" w:eastAsia="Calibri" w:hAnsi="Calibri" w:cs="Calibri"/>
        </w:rPr>
        <w:t>◦</w:t>
      </w:r>
      <w:r>
        <w:t xml:space="preserve">   </w:t>
      </w:r>
      <w:r>
        <w:rPr>
          <w:rFonts w:ascii="Calibri" w:eastAsia="Calibri" w:hAnsi="Calibri" w:cs="Calibri"/>
        </w:rPr>
        <w:t>Action Item:</w:t>
      </w:r>
      <w:r>
        <w:t xml:space="preserve"> Implement formal arrangements for primary day-to-day supervisors to clarify roles and provide CV benefits for postdocs.</w:t>
      </w:r>
    </w:p>
    <w:p w14:paraId="0A14A18D" w14:textId="73F0EF0E" w:rsidR="0055365E" w:rsidRDefault="0055365E" w:rsidP="0055365E">
      <w:pPr>
        <w:numPr>
          <w:ilvl w:val="0"/>
          <w:numId w:val="1"/>
        </w:numPr>
        <w:spacing w:after="123" w:line="300" w:lineRule="auto"/>
        <w:ind w:hanging="290"/>
      </w:pPr>
      <w:r>
        <w:rPr>
          <w:rFonts w:ascii="Calibri" w:eastAsia="Calibri" w:hAnsi="Calibri" w:cs="Calibri"/>
        </w:rPr>
        <w:t>Addressing Supervisor Issues:</w:t>
      </w:r>
      <w:r>
        <w:t xml:space="preserve"> Students find it "very hard" to discuss supervision concerns directly with their PI. Multiple students (2-3) reported significant unhappiness with primary supervisor relationships.</w:t>
      </w:r>
    </w:p>
    <w:p w14:paraId="54866687" w14:textId="77777777" w:rsidR="0055365E" w:rsidRDefault="0055365E" w:rsidP="0055365E">
      <w:pPr>
        <w:ind w:left="1890"/>
      </w:pPr>
      <w:r>
        <w:rPr>
          <w:rFonts w:ascii="Calibri" w:eastAsia="Calibri" w:hAnsi="Calibri" w:cs="Calibri"/>
        </w:rPr>
        <w:t>◦</w:t>
      </w:r>
      <w:r>
        <w:t xml:space="preserve">   </w:t>
      </w:r>
      <w:r>
        <w:rPr>
          <w:rFonts w:ascii="Calibri" w:eastAsia="Calibri" w:hAnsi="Calibri" w:cs="Calibri"/>
        </w:rPr>
        <w:t>Action Item:</w:t>
      </w:r>
      <w:r>
        <w:t xml:space="preserve"> Send an email clarifying steps students can take if they feel unsupported or need help.</w:t>
      </w:r>
    </w:p>
    <w:p w14:paraId="43182DBF" w14:textId="46B1167B" w:rsidR="0055365E" w:rsidRDefault="0055365E" w:rsidP="0055365E">
      <w:pPr>
        <w:numPr>
          <w:ilvl w:val="0"/>
          <w:numId w:val="1"/>
        </w:numPr>
        <w:spacing w:after="774" w:line="300" w:lineRule="auto"/>
        <w:ind w:hanging="290"/>
      </w:pPr>
      <w:r>
        <w:rPr>
          <w:rFonts w:ascii="Calibri" w:eastAsia="Calibri" w:hAnsi="Calibri" w:cs="Calibri"/>
        </w:rPr>
        <w:t>Decision:</w:t>
      </w:r>
      <w:r>
        <w:t xml:space="preserve"> </w:t>
      </w:r>
      <w:r w:rsidR="00EF6246">
        <w:t>At the end of the future surveys include ‘if you would like to discuss any of the topics further please provide contact email address’.</w:t>
      </w:r>
      <w:r>
        <w:t xml:space="preserve"> This aims to offer individual support to unhappy students without making broad program changes.</w:t>
      </w:r>
    </w:p>
    <w:p w14:paraId="119FD706" w14:textId="77777777" w:rsidR="0055365E" w:rsidRDefault="0055365E" w:rsidP="0055365E">
      <w:pPr>
        <w:pStyle w:val="Heading1"/>
        <w:ind w:left="-5"/>
      </w:pPr>
      <w:r>
        <w:t>Pastoral Support Committees (PSC)</w:t>
      </w:r>
    </w:p>
    <w:p w14:paraId="3C08C477" w14:textId="77777777" w:rsidR="0055365E" w:rsidRDefault="0055365E" w:rsidP="0055365E">
      <w:pPr>
        <w:numPr>
          <w:ilvl w:val="0"/>
          <w:numId w:val="2"/>
        </w:numPr>
        <w:spacing w:after="123" w:line="300" w:lineRule="auto"/>
        <w:ind w:hanging="290"/>
      </w:pPr>
      <w:r>
        <w:rPr>
          <w:rFonts w:ascii="Calibri" w:eastAsia="Calibri" w:hAnsi="Calibri" w:cs="Calibri"/>
        </w:rPr>
        <w:t>Current State and Issues:</w:t>
      </w:r>
      <w:r>
        <w:t xml:space="preserve"> Some PSC members have left and have not been replaced, leading to some students having no committee. Current contact is twice in the first year, then "up to them," and caseloads are too high (5-6 students per supporter).</w:t>
      </w:r>
    </w:p>
    <w:p w14:paraId="3765E76B" w14:textId="77777777" w:rsidR="0055365E" w:rsidRDefault="0055365E" w:rsidP="0055365E">
      <w:pPr>
        <w:numPr>
          <w:ilvl w:val="0"/>
          <w:numId w:val="2"/>
        </w:numPr>
        <w:spacing w:after="123" w:line="300" w:lineRule="auto"/>
        <w:ind w:hanging="290"/>
      </w:pPr>
      <w:r>
        <w:rPr>
          <w:rFonts w:ascii="Calibri" w:eastAsia="Calibri" w:hAnsi="Calibri" w:cs="Calibri"/>
        </w:rPr>
        <w:lastRenderedPageBreak/>
        <w:t>Proposed Improvements and Actions:</w:t>
      </w:r>
      <w:r>
        <w:t xml:space="preserve"> PSCs should proactively contact students every six months with a general check-in (e.g., "Hi. It was a long time since we last met. I hope you're doing well.") to offer general advice, discuss career decisions, or internships.</w:t>
      </w:r>
    </w:p>
    <w:p w14:paraId="5B6BB3B5" w14:textId="77777777" w:rsidR="0055365E" w:rsidRDefault="0055365E" w:rsidP="0055365E">
      <w:pPr>
        <w:spacing w:after="149"/>
        <w:ind w:left="1890"/>
      </w:pPr>
      <w:r>
        <w:rPr>
          <w:rFonts w:ascii="Calibri" w:eastAsia="Calibri" w:hAnsi="Calibri" w:cs="Calibri"/>
        </w:rPr>
        <w:t>◦</w:t>
      </w:r>
      <w:r>
        <w:t xml:space="preserve">   </w:t>
      </w:r>
      <w:r>
        <w:rPr>
          <w:rFonts w:ascii="Calibri" w:eastAsia="Calibri" w:hAnsi="Calibri" w:cs="Calibri"/>
        </w:rPr>
        <w:t>Action Item:</w:t>
      </w:r>
      <w:r>
        <w:t xml:space="preserve"> Recruit more PSC members, cap the number of students per supporter (possibly at three), and position the role as a "good career progression" opportunity for postdocs.</w:t>
      </w:r>
    </w:p>
    <w:p w14:paraId="4DDA1DAA" w14:textId="03697FAD" w:rsidR="0055365E" w:rsidRDefault="0055365E" w:rsidP="0055365E">
      <w:pPr>
        <w:ind w:left="1600"/>
      </w:pPr>
      <w:r>
        <w:rPr>
          <w:rFonts w:ascii="Calibri" w:eastAsia="Calibri" w:hAnsi="Calibri" w:cs="Calibri"/>
        </w:rPr>
        <w:t>◦</w:t>
      </w:r>
      <w:r>
        <w:t xml:space="preserve">   </w:t>
      </w:r>
      <w:r>
        <w:rPr>
          <w:rFonts w:ascii="Calibri" w:eastAsia="Calibri" w:hAnsi="Calibri" w:cs="Calibri"/>
        </w:rPr>
        <w:t>Action Item:</w:t>
      </w:r>
      <w:r>
        <w:t xml:space="preserve"> A Microsoft form for PSC recruitment will be shared. (Sent June 2026)</w:t>
      </w:r>
    </w:p>
    <w:p w14:paraId="43B0E6B6" w14:textId="77777777" w:rsidR="0055365E" w:rsidRDefault="0055365E" w:rsidP="0055365E">
      <w:pPr>
        <w:pStyle w:val="Heading1"/>
        <w:ind w:left="-5"/>
      </w:pPr>
      <w:r>
        <w:t>Program Structure and Teaching</w:t>
      </w:r>
    </w:p>
    <w:p w14:paraId="748FB9CB" w14:textId="6498F9A4" w:rsidR="0055365E" w:rsidRDefault="0055365E" w:rsidP="0055365E">
      <w:pPr>
        <w:numPr>
          <w:ilvl w:val="0"/>
          <w:numId w:val="3"/>
        </w:numPr>
        <w:spacing w:after="123" w:line="300" w:lineRule="auto"/>
        <w:ind w:hanging="290"/>
      </w:pPr>
      <w:r>
        <w:rPr>
          <w:rFonts w:ascii="Calibri" w:eastAsia="Calibri" w:hAnsi="Calibri" w:cs="Calibri"/>
        </w:rPr>
        <w:t>HGU Program Changes:</w:t>
      </w:r>
      <w:r>
        <w:t xml:space="preserve"> HGU programs are coming to a close and new students will not follow the same structure but computational teaching will continue.</w:t>
      </w:r>
    </w:p>
    <w:p w14:paraId="48D78D3E" w14:textId="77777777" w:rsidR="0055365E" w:rsidRDefault="0055365E" w:rsidP="0055365E">
      <w:pPr>
        <w:numPr>
          <w:ilvl w:val="0"/>
          <w:numId w:val="3"/>
        </w:numPr>
        <w:spacing w:after="123" w:line="300" w:lineRule="auto"/>
        <w:ind w:hanging="290"/>
      </w:pPr>
      <w:r>
        <w:rPr>
          <w:rFonts w:ascii="Calibri" w:eastAsia="Calibri" w:hAnsi="Calibri" w:cs="Calibri"/>
        </w:rPr>
        <w:t>Critical Evaluation Sessions:</w:t>
      </w:r>
      <w:r>
        <w:t xml:space="preserve"> Quality "varied from session to session" and depended heavily on the leader, often focusing on paper content rather than evaluating abstract quality or scientific methodology.</w:t>
      </w:r>
    </w:p>
    <w:p w14:paraId="10525DF7" w14:textId="77777777" w:rsidR="0055365E" w:rsidRDefault="0055365E" w:rsidP="0055365E">
      <w:pPr>
        <w:ind w:left="1890"/>
      </w:pPr>
      <w:r>
        <w:rPr>
          <w:rFonts w:ascii="Calibri" w:eastAsia="Calibri" w:hAnsi="Calibri" w:cs="Calibri"/>
        </w:rPr>
        <w:t>◦</w:t>
      </w:r>
      <w:r>
        <w:t xml:space="preserve">   </w:t>
      </w:r>
      <w:r>
        <w:rPr>
          <w:rFonts w:ascii="Calibri" w:eastAsia="Calibri" w:hAnsi="Calibri" w:cs="Calibri"/>
        </w:rPr>
        <w:t>Decision:</w:t>
      </w:r>
      <w:r>
        <w:t xml:space="preserve"> Reduce the number of papers per session from two to one, and adopt a "theme to focus on paper" method. These sessions will continue as they are seen as a good way to build community.</w:t>
      </w:r>
    </w:p>
    <w:p w14:paraId="42EB896C" w14:textId="41FD077B" w:rsidR="0055365E" w:rsidRDefault="0055365E" w:rsidP="0055365E">
      <w:pPr>
        <w:numPr>
          <w:ilvl w:val="0"/>
          <w:numId w:val="3"/>
        </w:numPr>
        <w:spacing w:after="775" w:line="300" w:lineRule="auto"/>
        <w:ind w:hanging="290"/>
      </w:pPr>
      <w:r>
        <w:rPr>
          <w:rFonts w:ascii="Calibri" w:eastAsia="Calibri" w:hAnsi="Calibri" w:cs="Calibri"/>
        </w:rPr>
        <w:t>Student Inclusion:</w:t>
      </w:r>
      <w:r>
        <w:t xml:space="preserve"> A strong recommendation was made to include Masters by Research (MRes) students in critical evaluation and all teaching sessions, as they often feel isolated and lack a support network. MRes students are currently invited but do not present.</w:t>
      </w:r>
    </w:p>
    <w:p w14:paraId="6103D304" w14:textId="77777777" w:rsidR="0055365E" w:rsidRDefault="0055365E" w:rsidP="0055365E">
      <w:pPr>
        <w:pStyle w:val="Heading1"/>
        <w:ind w:left="-5"/>
      </w:pPr>
      <w:r>
        <w:t>Onboarding and Administrative Processes</w:t>
      </w:r>
    </w:p>
    <w:p w14:paraId="6AC33809" w14:textId="49398F25" w:rsidR="0055365E" w:rsidRDefault="0055365E" w:rsidP="0055365E">
      <w:pPr>
        <w:numPr>
          <w:ilvl w:val="0"/>
          <w:numId w:val="4"/>
        </w:numPr>
        <w:spacing w:after="150" w:line="300" w:lineRule="auto"/>
        <w:ind w:hanging="316"/>
      </w:pPr>
      <w:r>
        <w:rPr>
          <w:rFonts w:ascii="Calibri" w:eastAsia="Calibri" w:hAnsi="Calibri" w:cs="Calibri"/>
        </w:rPr>
        <w:t>PI Responsibility and Gaps:</w:t>
      </w:r>
      <w:r>
        <w:t xml:space="preserve"> Student onboarding is largely dependent on PIs, and a lack of proper planning negatively impacts students and supervisors alike. PIs often do not inform administrative staff when new students are joining, complicating the setup of essential services.</w:t>
      </w:r>
    </w:p>
    <w:p w14:paraId="5E49AD93" w14:textId="77777777" w:rsidR="0055365E" w:rsidRDefault="0055365E" w:rsidP="0055365E">
      <w:pPr>
        <w:numPr>
          <w:ilvl w:val="0"/>
          <w:numId w:val="4"/>
        </w:numPr>
        <w:spacing w:after="174"/>
        <w:ind w:hanging="316"/>
      </w:pPr>
      <w:r>
        <w:rPr>
          <w:rFonts w:ascii="Calibri" w:eastAsia="Calibri" w:hAnsi="Calibri" w:cs="Calibri"/>
        </w:rPr>
        <w:t>Checklist Implementation:</w:t>
      </w:r>
    </w:p>
    <w:p w14:paraId="4B94C75A" w14:textId="77777777" w:rsidR="0055365E" w:rsidRDefault="0055365E" w:rsidP="0055365E">
      <w:pPr>
        <w:ind w:left="1890"/>
      </w:pPr>
      <w:r>
        <w:rPr>
          <w:rFonts w:ascii="Calibri" w:eastAsia="Calibri" w:hAnsi="Calibri" w:cs="Calibri"/>
        </w:rPr>
        <w:t>◦</w:t>
      </w:r>
      <w:r>
        <w:t xml:space="preserve">   </w:t>
      </w:r>
      <w:r>
        <w:rPr>
          <w:rFonts w:ascii="Calibri" w:eastAsia="Calibri" w:hAnsi="Calibri" w:cs="Calibri"/>
        </w:rPr>
        <w:t>Action Item:</w:t>
      </w:r>
      <w:r>
        <w:t xml:space="preserve"> Create a formal "Onboarding checklist for every new student" to standardize the process for both PIs and students, ensuring PIs cover critical items such as IT support, passwords, and health and safety.</w:t>
      </w:r>
    </w:p>
    <w:p w14:paraId="25B0B791" w14:textId="77777777" w:rsidR="0055365E" w:rsidRDefault="0055365E" w:rsidP="0055365E">
      <w:pPr>
        <w:ind w:left="1890"/>
      </w:pPr>
      <w:r>
        <w:rPr>
          <w:rFonts w:ascii="Calibri" w:eastAsia="Calibri" w:hAnsi="Calibri" w:cs="Calibri"/>
        </w:rPr>
        <w:t>◦</w:t>
      </w:r>
      <w:r>
        <w:t xml:space="preserve">   </w:t>
      </w:r>
      <w:r>
        <w:rPr>
          <w:rFonts w:ascii="Calibri" w:eastAsia="Calibri" w:hAnsi="Calibri" w:cs="Calibri"/>
        </w:rPr>
        <w:t>Action Item:</w:t>
      </w:r>
      <w:r>
        <w:t xml:space="preserve"> A checklist for PIs regarding administrative tasks for students will be created and distributed to PI emails.</w:t>
      </w:r>
    </w:p>
    <w:p w14:paraId="077EF06C" w14:textId="77777777" w:rsidR="0055365E" w:rsidRDefault="0055365E" w:rsidP="0055365E">
      <w:pPr>
        <w:ind w:left="1890"/>
      </w:pPr>
      <w:r>
        <w:rPr>
          <w:rFonts w:ascii="Calibri" w:eastAsia="Calibri" w:hAnsi="Calibri" w:cs="Calibri"/>
        </w:rPr>
        <w:t>◦</w:t>
      </w:r>
      <w:r>
        <w:t xml:space="preserve">   </w:t>
      </w:r>
      <w:r>
        <w:rPr>
          <w:rFonts w:ascii="Calibri" w:eastAsia="Calibri" w:hAnsi="Calibri" w:cs="Calibri"/>
        </w:rPr>
        <w:t>Action Item:</w:t>
      </w:r>
      <w:r>
        <w:t xml:space="preserve"> A checklist for visiting students and masters is suggested to facilitate their integration, covering essential items like access and health and safety.</w:t>
      </w:r>
    </w:p>
    <w:p w14:paraId="2BDA224C" w14:textId="77777777" w:rsidR="0055365E" w:rsidRDefault="0055365E" w:rsidP="0055365E">
      <w:pPr>
        <w:pStyle w:val="Heading1"/>
        <w:ind w:left="-5"/>
      </w:pPr>
      <w:r>
        <w:lastRenderedPageBreak/>
        <w:t>Communication and Engagement</w:t>
      </w:r>
    </w:p>
    <w:p w14:paraId="6A6286E3" w14:textId="40354BEB" w:rsidR="0055365E" w:rsidRDefault="0055365E" w:rsidP="0055365E">
      <w:pPr>
        <w:numPr>
          <w:ilvl w:val="0"/>
          <w:numId w:val="5"/>
        </w:numPr>
        <w:spacing w:after="123" w:line="300" w:lineRule="auto"/>
        <w:ind w:hanging="316"/>
      </w:pPr>
      <w:r>
        <w:rPr>
          <w:rFonts w:ascii="Calibri" w:eastAsia="Calibri" w:hAnsi="Calibri" w:cs="Calibri"/>
        </w:rPr>
        <w:t>Platform Effectiveness:</w:t>
      </w:r>
      <w:r>
        <w:t xml:space="preserve"> SharePoint is used for specific tasks but its overall user friendliness for general information is questioned. The announcements WhatsApp group usage has declined, and the Facebook page is considered ineffective.</w:t>
      </w:r>
    </w:p>
    <w:p w14:paraId="60DDA507" w14:textId="77777777" w:rsidR="0055365E" w:rsidRDefault="0055365E" w:rsidP="0055365E">
      <w:pPr>
        <w:ind w:left="1890"/>
      </w:pPr>
      <w:r>
        <w:rPr>
          <w:rFonts w:ascii="Calibri" w:eastAsia="Calibri" w:hAnsi="Calibri" w:cs="Calibri"/>
        </w:rPr>
        <w:t>◦</w:t>
      </w:r>
      <w:r>
        <w:t xml:space="preserve">   </w:t>
      </w:r>
      <w:r>
        <w:rPr>
          <w:rFonts w:ascii="Calibri" w:eastAsia="Calibri" w:hAnsi="Calibri" w:cs="Calibri"/>
        </w:rPr>
        <w:t>Action Item:</w:t>
      </w:r>
      <w:r>
        <w:t xml:space="preserve"> Include a question about opinions on SharePoint in the next questionnaire.</w:t>
      </w:r>
    </w:p>
    <w:p w14:paraId="3210F355" w14:textId="79691657" w:rsidR="0055365E" w:rsidRDefault="0055365E" w:rsidP="0055365E">
      <w:pPr>
        <w:numPr>
          <w:ilvl w:val="0"/>
          <w:numId w:val="5"/>
        </w:numPr>
        <w:spacing w:after="150" w:line="300" w:lineRule="auto"/>
        <w:ind w:hanging="316"/>
      </w:pPr>
      <w:r>
        <w:rPr>
          <w:rFonts w:ascii="Calibri" w:eastAsia="Calibri" w:hAnsi="Calibri" w:cs="Calibri"/>
        </w:rPr>
        <w:t>Community Building:</w:t>
      </w:r>
      <w:r>
        <w:t xml:space="preserve"> The initial teaching program, involving collective activities, is seen as a great opportunity for forming connections and should be strongly encouraged although is compulsory for HGU students currently. NHS based Masters and PhD students appreciate invitations but often choose not to participate in social events.</w:t>
      </w:r>
    </w:p>
    <w:p w14:paraId="4F53CC09" w14:textId="77777777" w:rsidR="0055365E" w:rsidRDefault="0055365E" w:rsidP="0055365E">
      <w:pPr>
        <w:numPr>
          <w:ilvl w:val="0"/>
          <w:numId w:val="5"/>
        </w:numPr>
        <w:spacing w:after="174"/>
        <w:ind w:hanging="316"/>
      </w:pPr>
      <w:r>
        <w:rPr>
          <w:rFonts w:ascii="Calibri" w:eastAsia="Calibri" w:hAnsi="Calibri" w:cs="Calibri"/>
        </w:rPr>
        <w:t>Handbook Content:</w:t>
      </w:r>
    </w:p>
    <w:p w14:paraId="5CC74C09" w14:textId="77777777" w:rsidR="0055365E" w:rsidRDefault="0055365E" w:rsidP="0055365E">
      <w:pPr>
        <w:spacing w:after="774"/>
        <w:ind w:left="1890"/>
      </w:pPr>
      <w:r>
        <w:rPr>
          <w:rFonts w:ascii="Calibri" w:eastAsia="Calibri" w:hAnsi="Calibri" w:cs="Calibri"/>
        </w:rPr>
        <w:t>◦</w:t>
      </w:r>
      <w:r>
        <w:t xml:space="preserve">   </w:t>
      </w:r>
      <w:r>
        <w:rPr>
          <w:rFonts w:ascii="Calibri" w:eastAsia="Calibri" w:hAnsi="Calibri" w:cs="Calibri"/>
        </w:rPr>
        <w:t>Action Item:</w:t>
      </w:r>
      <w:r>
        <w:t xml:space="preserve"> Review what specific content, such as a one-page summary of available teaching and information, can be included in student handbooks.</w:t>
      </w:r>
    </w:p>
    <w:p w14:paraId="64BCDC25" w14:textId="77777777" w:rsidR="0055365E" w:rsidRDefault="0055365E" w:rsidP="0055365E">
      <w:pPr>
        <w:pStyle w:val="Heading1"/>
        <w:ind w:left="-5"/>
      </w:pPr>
      <w:r>
        <w:t>Travel and Expenses</w:t>
      </w:r>
    </w:p>
    <w:p w14:paraId="2735C0CF" w14:textId="196C5AC3" w:rsidR="0055365E" w:rsidRDefault="0055365E" w:rsidP="0055365E">
      <w:pPr>
        <w:numPr>
          <w:ilvl w:val="0"/>
          <w:numId w:val="6"/>
        </w:numPr>
        <w:spacing w:after="123" w:line="300" w:lineRule="auto"/>
        <w:ind w:hanging="290"/>
      </w:pPr>
      <w:r>
        <w:rPr>
          <w:rFonts w:ascii="Calibri" w:eastAsia="Calibri" w:hAnsi="Calibri" w:cs="Calibri"/>
        </w:rPr>
        <w:t>Booking Challenges:</w:t>
      </w:r>
      <w:r>
        <w:t xml:space="preserve"> Confusion and difficulty exist regarding booking travel and claiming expenses, some students are left to pay from own money and claim back which is not ideal. Options for booking travel and accommodation include using a credit card (requiring 3-4 weeks advance notice) or requesting an advance payment. </w:t>
      </w:r>
    </w:p>
    <w:p w14:paraId="119DAA6E" w14:textId="77777777" w:rsidR="0055365E" w:rsidRDefault="0055365E" w:rsidP="0055365E">
      <w:pPr>
        <w:pStyle w:val="Heading1"/>
        <w:ind w:left="-5"/>
      </w:pPr>
      <w:r>
        <w:t>Student Well-being and General Feedback</w:t>
      </w:r>
    </w:p>
    <w:p w14:paraId="68A00AC3" w14:textId="77777777" w:rsidR="0055365E" w:rsidRDefault="0055365E" w:rsidP="0055365E">
      <w:pPr>
        <w:numPr>
          <w:ilvl w:val="0"/>
          <w:numId w:val="7"/>
        </w:numPr>
        <w:spacing w:after="123" w:line="300" w:lineRule="auto"/>
        <w:ind w:hanging="290"/>
      </w:pPr>
      <w:r>
        <w:rPr>
          <w:rFonts w:ascii="Calibri" w:eastAsia="Calibri" w:hAnsi="Calibri" w:cs="Calibri"/>
        </w:rPr>
        <w:t>Well-being Impact:</w:t>
      </w:r>
      <w:r>
        <w:t xml:space="preserve"> Student well-being is affected by PhD demands and funding uncertainty. The survey question regarding well-being impact was deemed unclear and needs rephrasing to better distinguish between project-related stress and severe anxiety.</w:t>
      </w:r>
    </w:p>
    <w:p w14:paraId="5EC9BBA5" w14:textId="4F308075" w:rsidR="0055365E" w:rsidRDefault="0055365E" w:rsidP="0055365E">
      <w:pPr>
        <w:numPr>
          <w:ilvl w:val="0"/>
          <w:numId w:val="7"/>
        </w:numPr>
        <w:spacing w:after="123" w:line="300" w:lineRule="auto"/>
        <w:ind w:hanging="290"/>
      </w:pPr>
      <w:r>
        <w:rPr>
          <w:rFonts w:ascii="Calibri" w:eastAsia="Calibri" w:hAnsi="Calibri" w:cs="Calibri"/>
        </w:rPr>
        <w:t>Overall Satisfaction:</w:t>
      </w:r>
      <w:r>
        <w:t xml:space="preserve"> Students generally express satisfaction with the research environment, culture, and support provided, frequently mentioning the collaboration of the IGC as a positive aspect.</w:t>
      </w:r>
    </w:p>
    <w:p w14:paraId="7C309CDA" w14:textId="77777777" w:rsidR="0055365E" w:rsidRDefault="0055365E" w:rsidP="0055365E">
      <w:pPr>
        <w:numPr>
          <w:ilvl w:val="0"/>
          <w:numId w:val="7"/>
        </w:numPr>
        <w:spacing w:after="123" w:line="300" w:lineRule="auto"/>
        <w:ind w:hanging="290"/>
      </w:pPr>
      <w:r>
        <w:rPr>
          <w:rFonts w:ascii="Calibri" w:eastAsia="Calibri" w:hAnsi="Calibri" w:cs="Calibri"/>
        </w:rPr>
        <w:t>Financial Concerns:</w:t>
      </w:r>
      <w:r>
        <w:t xml:space="preserve"> PhD stipends are considered insufficient, which is a long-standing issue.</w:t>
      </w:r>
    </w:p>
    <w:p w14:paraId="4AA7E4A9" w14:textId="77777777" w:rsidR="0055365E" w:rsidRDefault="0055365E" w:rsidP="00D71516"/>
    <w:sectPr w:rsidR="005536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30867"/>
    <w:multiLevelType w:val="hybridMultilevel"/>
    <w:tmpl w:val="FC8E6CD2"/>
    <w:lvl w:ilvl="0" w:tplc="4FF4C09C">
      <w:start w:val="1"/>
      <w:numFmt w:val="bullet"/>
      <w:lvlText w:val="•"/>
      <w:lvlJc w:val="left"/>
      <w:pPr>
        <w:ind w:left="2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CC2163C">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C580510">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0AAE44E">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00EAC1A">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EF4C210">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386B44C">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746694C">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ACC7FB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BAC4CBB"/>
    <w:multiLevelType w:val="hybridMultilevel"/>
    <w:tmpl w:val="F1FA99FA"/>
    <w:lvl w:ilvl="0" w:tplc="A6A4766A">
      <w:start w:val="1"/>
      <w:numFmt w:val="bullet"/>
      <w:lvlText w:val="•"/>
      <w:lvlJc w:val="left"/>
      <w:pPr>
        <w:ind w:left="3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5DAD0E8">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7A21482">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2500C14">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FBE5AA8">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652E422">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5FE0A92">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1FEB8BC">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B6E70B2">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FCD2E37"/>
    <w:multiLevelType w:val="hybridMultilevel"/>
    <w:tmpl w:val="75E085C6"/>
    <w:lvl w:ilvl="0" w:tplc="668C8F1A">
      <w:start w:val="1"/>
      <w:numFmt w:val="bullet"/>
      <w:lvlText w:val="•"/>
      <w:lvlJc w:val="left"/>
      <w:pPr>
        <w:ind w:left="2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91ACABC">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A36787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068A12C">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22CED80">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45A55D6">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F8AC092">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3CAC344">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3BAF1EE">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50157F1"/>
    <w:multiLevelType w:val="hybridMultilevel"/>
    <w:tmpl w:val="EBBC21DC"/>
    <w:lvl w:ilvl="0" w:tplc="35881302">
      <w:start w:val="1"/>
      <w:numFmt w:val="bullet"/>
      <w:lvlText w:val="•"/>
      <w:lvlJc w:val="left"/>
      <w:pPr>
        <w:ind w:left="2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690804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44A59E2">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AD21994">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63C8B3E">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FBC0D3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19A0AE0">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80C3D88">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ABAF032">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4244843"/>
    <w:multiLevelType w:val="hybridMultilevel"/>
    <w:tmpl w:val="DD523506"/>
    <w:lvl w:ilvl="0" w:tplc="B3D451E0">
      <w:start w:val="1"/>
      <w:numFmt w:val="bullet"/>
      <w:lvlText w:val="•"/>
      <w:lvlJc w:val="left"/>
      <w:pPr>
        <w:ind w:left="3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3CA4E76">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7A6829E">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9923BDE">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16EBA20">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5B2578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448B7B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C0E3914">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5F4D95E">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9155D9D"/>
    <w:multiLevelType w:val="hybridMultilevel"/>
    <w:tmpl w:val="49163B1A"/>
    <w:lvl w:ilvl="0" w:tplc="C6368432">
      <w:start w:val="1"/>
      <w:numFmt w:val="bullet"/>
      <w:lvlText w:val="•"/>
      <w:lvlJc w:val="left"/>
      <w:pPr>
        <w:ind w:left="2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C78C17C">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E521486">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2D4C3E4">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EDCEFCC">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B44282">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0E8168C">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60ADAC0">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A4642BE">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BED1275"/>
    <w:multiLevelType w:val="hybridMultilevel"/>
    <w:tmpl w:val="6B145956"/>
    <w:lvl w:ilvl="0" w:tplc="C4CA0C0C">
      <w:start w:val="1"/>
      <w:numFmt w:val="bullet"/>
      <w:lvlText w:val="•"/>
      <w:lvlJc w:val="left"/>
      <w:pPr>
        <w:ind w:left="2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96262E4">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608D920">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C149498">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EB62C20">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2E042D8">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544928A">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FFAF674">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088A954">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0"/>
  </w:num>
  <w:num w:numId="3">
    <w:abstractNumId w:val="6"/>
  </w:num>
  <w:num w:numId="4">
    <w:abstractNumId w:val="1"/>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516"/>
    <w:rsid w:val="00493C5B"/>
    <w:rsid w:val="0055365E"/>
    <w:rsid w:val="00D71516"/>
    <w:rsid w:val="00EF62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1F29B"/>
  <w15:chartTrackingRefBased/>
  <w15:docId w15:val="{E0CE2B24-56DF-49AA-9178-59D9D05AA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55365E"/>
    <w:pPr>
      <w:keepNext/>
      <w:keepLines/>
      <w:spacing w:after="95"/>
      <w:ind w:left="10" w:hanging="10"/>
      <w:outlineLvl w:val="0"/>
    </w:pPr>
    <w:rPr>
      <w:rFonts w:ascii="Calibri" w:eastAsia="Calibri" w:hAnsi="Calibri" w:cs="Calibri"/>
      <w:color w:val="000000"/>
      <w:sz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65E"/>
    <w:rPr>
      <w:rFonts w:ascii="Calibri" w:eastAsia="Calibri" w:hAnsi="Calibri" w:cs="Calibri"/>
      <w:color w:val="000000"/>
      <w:sz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827</Words>
  <Characters>4716</Characters>
  <Application>Microsoft Office Word</Application>
  <DocSecurity>4</DocSecurity>
  <Lines>39</Lines>
  <Paragraphs>11</Paragraphs>
  <ScaleCrop>false</ScaleCrop>
  <Company>University of Edinburgh</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Johnson</dc:creator>
  <cp:keywords/>
  <dc:description/>
  <cp:lastModifiedBy>Alana Johnson</cp:lastModifiedBy>
  <cp:revision>2</cp:revision>
  <dcterms:created xsi:type="dcterms:W3CDTF">2026-06-18T09:34:00Z</dcterms:created>
  <dcterms:modified xsi:type="dcterms:W3CDTF">2026-06-18T09:34:00Z</dcterms:modified>
</cp:coreProperties>
</file>