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003865"/>
          <w:sz w:val="52"/>
          <w:szCs w:val="52"/>
        </w:rPr>
        <w:t xml:space="preserve">IGC Mass Spectrometry Facility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C8601A"/>
          <w:sz w:val="38"/>
          <w:szCs w:val="38"/>
        </w:rPr>
        <w:t xml:space="preserve">Lipidomics Sample Preparation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C8601A"/>
          <w:sz w:val="30"/>
          <w:szCs w:val="30"/>
        </w:rPr>
        <w:t xml:space="preserve">One-Step Lipid Extraction from Adherent Cells (Isopropanol)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University of Edinburgh  |  Institute of Genetics and Cancer  |  April 2026</w:t>
      </w:r>
    </w:p>
    <w:p>
      <w:pPr>
        <w:pBdr>
          <w:bottom w:val="single" w:color="00AEC7" w:sz="12" w:space="1"/>
        </w:pBdr>
        <w:spacing w:after="300" w:before="60"/>
      </w:pP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Lipids are extracted from adherent cells using isopropanol (IPA), which simultaneously precipitates proteins and extracts both polar and non-polar lipid species. This one-step protocol is fast and reproducible, and is the standard method for broad lipidomics profiling from cell culture.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09E" w:sz="4"/>
              <w:left w:val="single" w:color="1A509E" w:sz="18"/>
              <w:bottom w:val="single" w:color="1A509E" w:sz="4"/>
              <w:right w:val="single" w:color="1A509E" w:sz="4"/>
            </w:tcBorders>
            <w:shd w:fill="EAF0F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509E"/>
                <w:sz w:val="22"/>
                <w:szCs w:val="22"/>
              </w:rPr>
              <w:t xml:space="preserve">NOTE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All solvents must be LC-MS grade. Extraction solution (100% IPA) should be stored at −20°C before use.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Aim for approximately 80% cell confluence at the point of extraction. See the notes section for cell density guidance.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C8601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1.  Reagents and Equipment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26"/>
      </w:tblGrid>
      <w:tr>
        <w:trPr>
          <w:tblHeader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Reagent / Item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0386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FFFFFF"/>
                <w:sz w:val="21"/>
                <w:szCs w:val="21"/>
              </w:rPr>
              <w:t xml:space="preserve">Detail / Specification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Isopropanol (IPA)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LC-MS grade — stored at −20°C before use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PBS (phosphate-buffered saline)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Pre-chilled to 1–4°C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Internal standards (IS)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Optional — add to IPA extraction solution before use; discuss with facility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Microcentrifuge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16,100 x g, 0–4°C</w:t>
            </w:r>
          </w:p>
        </w:tc>
      </w:tr>
      <w:tr>
        <w:trPr>
          <w:tblHeader w:val="false"/>
        </w:trPr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Glass HPLC vials</w:t>
            </w:r>
          </w:p>
        </w:tc>
        <w:tc>
          <w:tcPr>
            <w:tcW w:type="dxa" w:w="5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For sample storage and LC-MS submission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C8601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2.  Extraction Protocol</w:t>
      </w: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Perform extractions plate-by-plate. Remove one plate from the incubator at a time and complete all steps before starting the next plate.</w:t>
      </w:r>
    </w:p>
    <w:p>
      <w:pPr>
        <w:spacing w:after="8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Remove medium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from each well. With very adherent cells, pour from all wells simultaneously. For less adherent cells, aspirate carefully from each well in turn. Avoid disturbing the cell layer.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Wash cells 3 times with chilled PBS (1–4°C).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Remove excess PBS by aspiration after the final wash — residual PBS dilutes the extraction solution and can interfere with chromatography. For poorly adhering cells, reduce wash number to avoid cell loss.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Calculate the extraction volume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based on cell count: target approximately 1–2 × 10⁶ cells/ml extraction solution. Once validated, use the same volume across all samples within an experiment.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Add ice-cold IPA extraction solution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to cover all cells completely in the well. Use not less than 200 µl per well of a 6-well plate. Gently rock or tilt the plate to ensure even coverage.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>Incubate at −20°C for 30 minutes.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This allows both protein precipitation and lipid extraction to occur simultaneously.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Pipette the extraction solution from each well into a labelled microcentrifuge tube.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Centrifuge at 16,100 x g for 10 minutes at 0–4°C. Transfer the supernatant to glass HPLC vials.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Store at −80°C until LC-MS analysis.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color w:val="003865"/>
          <w:sz w:val="22"/>
          <w:szCs w:val="22"/>
        </w:rPr>
        <w:t xml:space="preserve">Retain the cell culture plate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for protein quantification. Allow to air-dry at room temperature for 1 hour, then store in the fridge. Protein content can be measured by Lowry assay for data normalisation.</w:t>
      </w:r>
    </w:p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4"/>
              <w:left w:val="single" w:color="C0392B" w:sz="18"/>
              <w:bottom w:val="single" w:color="C0392B" w:sz="4"/>
              <w:right w:val="single" w:color="C0392B" w:sz="4"/>
            </w:tcBorders>
            <w:shd w:fill="FDECE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CRITICAL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Remove all residual PBS after washing — even small amounts will dilute the IPA and reduce extraction efficiency.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>Use glass tubes and glass vials wherever possible. IPA leaches phthalate plasticisers from polypropylene, which appear as abundant interfering ions in positive-mode lipidomics data. If polypropylene microcentrifuge tubes must be used for centrifugation, transfer the supernatant to glass vials immediately afterwards to minimise contact time.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Do not allow cells to dry between the wash and extraction steps. Add IPA promptly after the final PBS aspiration.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E5A" w:sz="4"/>
              <w:left w:val="single" w:color="1A6E5A" w:sz="18"/>
              <w:bottom w:val="single" w:color="1A6E5A" w:sz="4"/>
              <w:right w:val="single" w:color="1A6E5A" w:sz="4"/>
            </w:tcBorders>
            <w:shd w:fill="E8F4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6E5A"/>
                <w:sz w:val="22"/>
                <w:szCs w:val="22"/>
              </w:rPr>
              <w:t xml:space="preserve">TIP  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If internal standards are used, add them to the IPA extraction solvent before use, not afterwards.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1"/>
                <w:szCs w:val="21"/>
              </w:rPr>
              <w:t xml:space="preserve">For cells that are difficult to keep adherent during washing, reduce the number of PBS washes to 1–2 and use a gentle wash technique (add PBS slowly from the side of the well).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C8601A" w:sz="8" w:space="4"/>
        </w:pBdr>
        <w:spacing w:after="160" w:before="360"/>
      </w:pPr>
      <w:r>
        <w:rPr>
          <w:rFonts w:ascii="Arial" w:cs="Arial" w:eastAsia="Arial" w:hAnsi="Arial"/>
          <w:b/>
          <w:bCs/>
          <w:color w:val="003865"/>
          <w:sz w:val="36"/>
          <w:szCs w:val="36"/>
        </w:rPr>
        <w:t xml:space="preserve">3.  Notes on Cell Density</w:t>
      </w:r>
    </w:p>
    <w:p>
      <w:pPr>
        <w:spacing w:after="10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Cell density at the point of extraction has a significant effect on data quality: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Too few cells (≤50% confluence): insufficient lipid signal, poor coverage.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Too many cells (&gt;95% confluence, cells multilayered): altered lipid composition due to contact inhibition and hypoxia.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Target 80% confluence for reproducible, biologically relevant results.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Normalise data to protein content (Lowry assay on the extracted plate) rather than cell number where possible.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AEC7" w:sz="4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mass-spec@igc.ed.ac.uk   |   institute-genetics-cancer.ed.ac.uk/mass-spectrometry   | 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AEC7" w:sz="6" w:space="4"/>
      </w:pBdr>
      <w:spacing w:after="0"/>
    </w:pPr>
    <w:r>
      <w:rPr>
        <w:rFonts w:ascii="Arial" w:cs="Arial" w:eastAsia="Arial" w:hAnsi="Arial"/>
        <w:b/>
        <w:bCs/>
        <w:color w:val="003865"/>
        <w:sz w:val="20"/>
        <w:szCs w:val="20"/>
      </w:rPr>
      <w:t xml:space="preserve">IGC Mass Spectrometry Facility</w:t>
    </w:r>
    <w:r>
      <w:rPr>
        <w:rFonts w:ascii="Arial" w:cs="Arial" w:eastAsia="Arial" w:hAnsi="Arial"/>
        <w:color w:val="666666"/>
        <w:sz w:val="20"/>
        <w:szCs w:val="20"/>
      </w:rPr>
      <w:t xml:space="preserve">   |   Protocol 101 — Lipid Extraction from Adherent Cells (IPA)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60"/>
      </w:pPr>
    </w:lvl>
    <w:lvl w:ilvl="1" w15:tentative="1">
      <w:start w:val="1"/>
      <w:numFmt w:val="bullet"/>
      <w:lvlText w:val="◦"/>
      <w:lvlJc w:val="left"/>
      <w:pPr>
        <w:ind w:left="9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2026-04-23T16:33:44.616Z</dcterms:created>
  <dcterms:modified xsi:type="dcterms:W3CDTF">2026-04-23T16:33:44.616Z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